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ind w:left="0" w:right="134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ALLEGATO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pacing w:val="-10"/>
          <w:sz w:val="20"/>
          <w:szCs w:val="20"/>
        </w:rPr>
        <w:t>D</w:t>
      </w:r>
    </w:p>
    <w:p>
      <w:pPr>
        <w:pStyle w:val="BodyTex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spacing w:before="23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Title"/>
        <w:widowControl w:val="false"/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CASI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DI</w:t>
      </w:r>
      <w:r>
        <w:rPr>
          <w:spacing w:val="-1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DIFFERIMENTO</w:t>
      </w:r>
    </w:p>
    <w:p>
      <w:pPr>
        <w:pStyle w:val="BodyText"/>
        <w:spacing w:before="70" w:after="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BodyText"/>
        <w:widowControl w:val="false"/>
        <w:suppressAutoHyphens w:val="true"/>
        <w:bidi w:val="0"/>
        <w:spacing w:lineRule="auto" w:line="276" w:before="0" w:after="0"/>
        <w:ind w:hanging="0" w:left="0" w:right="11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Fatti salvi i diritti riconosciuti al diretto interessato, suoi eredi o aventi causa, da specifiche disposizioni normative o dalle previsioni di Contratti Collettivi Nazionali, sono soggetti a differimento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seguenti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documenti, in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quanto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riconducibili alle ipotesi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cui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all’art. 9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del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D.P.R. 12 aprile 2006, n. 184 “Regolamento recante disciplina in materia di accesso ai documenti amministrativi” e dell’art. 16 del presente Regolamento:</w:t>
      </w:r>
    </w:p>
    <w:p>
      <w:pPr>
        <w:pStyle w:val="BodyText"/>
        <w:spacing w:before="25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3" w:leader="none"/>
        </w:tabs>
        <w:spacing w:lineRule="auto" w:line="276" w:before="57" w:after="57"/>
        <w:ind w:hanging="360" w:left="863" w:right="132"/>
        <w:jc w:val="both"/>
        <w:rPr/>
      </w:pPr>
      <w:r>
        <w:rPr>
          <w:rFonts w:ascii="Arial" w:hAnsi="Arial"/>
          <w:sz w:val="20"/>
          <w:szCs w:val="20"/>
        </w:rPr>
        <w:t>Documentazione attinente a procedimenti disciplinari, a provvedimenti sanzionatori,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di dispensa dal servizio, ricorsi presentati dal personale dipendente nonché ad inchieste ispettive sommarie e formali; </w:t>
      </w:r>
      <w:r>
        <w:rPr>
          <w:rFonts w:ascii="Arial" w:hAnsi="Arial"/>
          <w:b/>
          <w:sz w:val="20"/>
          <w:szCs w:val="20"/>
        </w:rPr>
        <w:t>periodo di esclusione</w:t>
      </w:r>
      <w:r>
        <w:rPr>
          <w:rFonts w:ascii="Arial" w:hAnsi="Arial"/>
          <w:sz w:val="20"/>
          <w:szCs w:val="20"/>
        </w:rPr>
        <w:t>: fino alla conclusione del procedimento. La temporanea inaccessibilità dei documenti ivi indicati non riguarda la parte interessata.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3" w:leader="none"/>
        </w:tabs>
        <w:spacing w:lineRule="auto" w:line="276" w:before="57" w:after="57"/>
        <w:ind w:hanging="360" w:left="863" w:right="131"/>
        <w:jc w:val="both"/>
        <w:rPr/>
      </w:pPr>
      <w:r>
        <w:rPr>
          <w:rFonts w:ascii="Arial" w:hAnsi="Arial"/>
          <w:sz w:val="20"/>
          <w:szCs w:val="20"/>
        </w:rPr>
        <w:t xml:space="preserve">Elaborati e schede di valutazione dei partecipanti a concorsi, elaborati di prove di selezione, elaborati di esame di ammissione a corsi di abilitazione; </w:t>
      </w:r>
      <w:r>
        <w:rPr>
          <w:rFonts w:ascii="Arial" w:hAnsi="Arial"/>
          <w:b/>
          <w:sz w:val="20"/>
          <w:szCs w:val="20"/>
        </w:rPr>
        <w:t>periodo di esclusione</w:t>
      </w:r>
      <w:r>
        <w:rPr>
          <w:rFonts w:ascii="Arial" w:hAnsi="Arial"/>
          <w:sz w:val="20"/>
          <w:szCs w:val="20"/>
        </w:rPr>
        <w:t xml:space="preserve">: fino alla conclusione delle </w:t>
      </w:r>
      <w:r>
        <w:rPr>
          <w:rFonts w:ascii="Arial" w:hAnsi="Arial"/>
          <w:b/>
          <w:sz w:val="20"/>
          <w:szCs w:val="20"/>
        </w:rPr>
        <w:t xml:space="preserve">singole fasi del procedimento </w:t>
      </w:r>
      <w:r>
        <w:rPr>
          <w:rFonts w:ascii="Arial" w:hAnsi="Arial"/>
          <w:sz w:val="20"/>
          <w:szCs w:val="20"/>
        </w:rPr>
        <w:t>ai cui fini gli stessi sono preordinati.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3" w:leader="none"/>
        </w:tabs>
        <w:spacing w:lineRule="auto" w:line="276" w:before="57" w:after="57"/>
        <w:ind w:hanging="360" w:left="863" w:right="131"/>
        <w:jc w:val="both"/>
        <w:rPr/>
      </w:pPr>
      <w:r>
        <w:rPr>
          <w:rFonts w:ascii="Arial" w:hAnsi="Arial"/>
          <w:sz w:val="20"/>
          <w:szCs w:val="20"/>
        </w:rPr>
        <w:t xml:space="preserve">Altra documentazione delle commissioni giudicatrici di concorso </w:t>
      </w:r>
      <w:r>
        <w:rPr>
          <w:rFonts w:ascii="Arial" w:hAnsi="Arial"/>
          <w:b/>
          <w:sz w:val="20"/>
          <w:szCs w:val="20"/>
        </w:rPr>
        <w:t>periodo di esclusione</w:t>
      </w:r>
      <w:r>
        <w:rPr>
          <w:rFonts w:ascii="Arial" w:hAnsi="Arial"/>
          <w:sz w:val="20"/>
          <w:szCs w:val="20"/>
        </w:rPr>
        <w:t>: fino alla conclusione del procedimento concorsuale.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3" w:leader="none"/>
        </w:tabs>
        <w:spacing w:lineRule="auto" w:line="276" w:before="57" w:after="57"/>
        <w:ind w:hanging="360" w:left="863" w:right="131"/>
        <w:jc w:val="both"/>
        <w:rPr/>
      </w:pPr>
      <w:r>
        <w:rPr>
          <w:rFonts w:ascii="Arial" w:hAnsi="Arial"/>
          <w:sz w:val="20"/>
          <w:szCs w:val="20"/>
        </w:rPr>
        <w:t xml:space="preserve">Documentazione amministrativa riconnessa a procedimenti penali; </w:t>
      </w:r>
      <w:r>
        <w:rPr>
          <w:rFonts w:ascii="Arial" w:hAnsi="Arial"/>
          <w:b/>
          <w:sz w:val="20"/>
          <w:szCs w:val="20"/>
        </w:rPr>
        <w:t xml:space="preserve">periodo di esclusione: </w:t>
      </w:r>
      <w:r>
        <w:rPr>
          <w:rFonts w:ascii="Arial" w:hAnsi="Arial"/>
          <w:sz w:val="20"/>
          <w:szCs w:val="20"/>
        </w:rPr>
        <w:t>fino alla definitiva conclusione del procedimento amministrativo, salvo i limiti imposti dal segreto istruttorio.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3" w:leader="none"/>
        </w:tabs>
        <w:spacing w:lineRule="auto" w:line="276" w:before="57" w:after="57"/>
        <w:ind w:hanging="360" w:left="863" w:right="131"/>
        <w:jc w:val="both"/>
        <w:rPr/>
      </w:pPr>
      <w:r>
        <w:rPr>
          <w:rFonts w:ascii="Arial" w:hAnsi="Arial"/>
          <w:sz w:val="20"/>
          <w:szCs w:val="20"/>
        </w:rPr>
        <w:t xml:space="preserve">Documentazione relativa al rilascio delle autorizzazioni sanitarie; </w:t>
      </w:r>
      <w:r>
        <w:rPr>
          <w:rFonts w:ascii="Arial" w:hAnsi="Arial"/>
          <w:b/>
          <w:sz w:val="20"/>
          <w:szCs w:val="20"/>
        </w:rPr>
        <w:t>periodo di esclusione</w:t>
      </w:r>
      <w:r>
        <w:rPr>
          <w:rFonts w:ascii="Arial" w:hAnsi="Arial"/>
          <w:sz w:val="20"/>
          <w:szCs w:val="20"/>
        </w:rPr>
        <w:t>: fino alla conclusione del procedimento. La temporanea inaccessibilità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dei documenti ivi indicati non riguarda la parte interessata.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3" w:leader="none"/>
        </w:tabs>
        <w:spacing w:lineRule="auto" w:line="276" w:before="57" w:after="57"/>
        <w:ind w:hanging="360" w:left="863" w:right="131"/>
        <w:jc w:val="both"/>
        <w:rPr/>
      </w:pPr>
      <w:r>
        <w:rPr>
          <w:rFonts w:ascii="Arial" w:hAnsi="Arial"/>
          <w:sz w:val="20"/>
          <w:szCs w:val="20"/>
        </w:rPr>
        <w:t xml:space="preserve">Documentazione inerente l’attività di ispezione svolta dalle strutture aziendali nell’esercizio delle funzioni di vigilanza e controllo nelle materie di competenza: igiene, sanità pubblica e veterinaria; benessere animale; prevenzione, protezione e sicurezza sul lavoro, etc.; </w:t>
      </w:r>
      <w:r>
        <w:rPr>
          <w:rFonts w:ascii="Arial" w:hAnsi="Arial"/>
          <w:b/>
          <w:sz w:val="20"/>
          <w:szCs w:val="20"/>
        </w:rPr>
        <w:t>periodo di esclusione</w:t>
      </w:r>
      <w:r>
        <w:rPr>
          <w:rFonts w:ascii="Arial" w:hAnsi="Arial"/>
          <w:sz w:val="20"/>
          <w:szCs w:val="20"/>
        </w:rPr>
        <w:t>: fino alla definitiva conclusione del procedimento, salvo che ricorra l’ipotesi di cui al punto successivo.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3" w:leader="none"/>
        </w:tabs>
        <w:spacing w:lineRule="auto" w:line="276" w:before="57" w:after="57"/>
        <w:ind w:hanging="360" w:left="863" w:right="131"/>
        <w:jc w:val="both"/>
        <w:rPr/>
      </w:pPr>
      <w:r>
        <w:rPr>
          <w:rFonts w:ascii="Arial" w:hAnsi="Arial"/>
          <w:sz w:val="20"/>
          <w:szCs w:val="20"/>
        </w:rPr>
        <w:t>Documenti contenenti notizie acquisite nel corso delle attività ispettive, quando dalla loro</w:t>
      </w:r>
      <w:r>
        <w:rPr>
          <w:rFonts w:ascii="Arial" w:hAnsi="Arial"/>
          <w:spacing w:val="7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divulgazione</w:t>
      </w:r>
      <w:r>
        <w:rPr>
          <w:rFonts w:ascii="Arial" w:hAnsi="Arial"/>
          <w:spacing w:val="7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possano</w:t>
      </w:r>
      <w:r>
        <w:rPr>
          <w:rFonts w:ascii="Arial" w:hAnsi="Arial"/>
          <w:spacing w:val="7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derivare</w:t>
      </w:r>
      <w:r>
        <w:rPr>
          <w:rFonts w:ascii="Arial" w:hAnsi="Arial"/>
          <w:spacing w:val="7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azioni</w:t>
      </w:r>
      <w:r>
        <w:rPr>
          <w:rFonts w:ascii="Arial" w:hAnsi="Arial"/>
          <w:spacing w:val="7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discriminatorie</w:t>
      </w:r>
      <w:r>
        <w:rPr>
          <w:rFonts w:ascii="Arial" w:hAnsi="Arial"/>
          <w:spacing w:val="7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</w:t>
      </w:r>
      <w:r>
        <w:rPr>
          <w:rFonts w:ascii="Arial" w:hAnsi="Arial"/>
          <w:spacing w:val="7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indebite</w:t>
      </w:r>
      <w:r>
        <w:rPr>
          <w:rFonts w:ascii="Arial" w:hAnsi="Arial"/>
          <w:spacing w:val="7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pressioni</w:t>
      </w:r>
      <w:r>
        <w:rPr>
          <w:rFonts w:ascii="Arial" w:hAnsi="Arial"/>
          <w:spacing w:val="7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o pregiudizi a carico di lavoratori o di terzi; </w:t>
      </w:r>
      <w:r>
        <w:rPr>
          <w:rFonts w:ascii="Arial" w:hAnsi="Arial"/>
          <w:b/>
          <w:sz w:val="20"/>
          <w:szCs w:val="20"/>
        </w:rPr>
        <w:t>periodo di esclusione</w:t>
      </w:r>
      <w:r>
        <w:rPr>
          <w:rFonts w:ascii="Arial" w:hAnsi="Arial"/>
          <w:sz w:val="20"/>
          <w:szCs w:val="20"/>
        </w:rPr>
        <w:t>: finchè perduri il rapporto di lavoro o la situazione che può dar luogo ad indebite pressioni o pregiudizi nei confronti dei terzi, salvo che le notizie contenute nei documenti di tale categoria risultino a quella data sottoposte a segreto istruttorio penale.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3" w:leader="none"/>
        </w:tabs>
        <w:spacing w:lineRule="auto" w:line="276" w:before="57" w:after="57"/>
        <w:ind w:hanging="360" w:left="863" w:right="131"/>
        <w:jc w:val="both"/>
        <w:rPr/>
      </w:pPr>
      <w:r>
        <w:rPr>
          <w:rFonts w:ascii="Arial" w:hAnsi="Arial"/>
          <w:sz w:val="20"/>
          <w:szCs w:val="20"/>
        </w:rPr>
        <w:t xml:space="preserve">Verbali di indagini conoscitive su richiesta ministeriale e/o regionale, accertamenti sull’utilizzo di determinate sostanze; </w:t>
      </w:r>
      <w:r>
        <w:rPr>
          <w:rFonts w:ascii="Arial" w:hAnsi="Arial"/>
          <w:b/>
          <w:sz w:val="20"/>
          <w:szCs w:val="20"/>
        </w:rPr>
        <w:t>periodo di esclusione</w:t>
      </w:r>
      <w:r>
        <w:rPr>
          <w:rFonts w:ascii="Arial" w:hAnsi="Arial"/>
          <w:sz w:val="20"/>
          <w:szCs w:val="20"/>
        </w:rPr>
        <w:t xml:space="preserve">: fino alla conclusione del </w:t>
      </w:r>
      <w:r>
        <w:rPr>
          <w:rFonts w:ascii="Arial" w:hAnsi="Arial"/>
          <w:spacing w:val="-2"/>
          <w:sz w:val="20"/>
          <w:szCs w:val="20"/>
        </w:rPr>
        <w:t>procedimento.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3" w:leader="none"/>
        </w:tabs>
        <w:spacing w:lineRule="auto" w:line="276" w:before="57" w:after="57"/>
        <w:ind w:hanging="360" w:left="863" w:right="131"/>
        <w:jc w:val="both"/>
        <w:rPr/>
      </w:pPr>
      <w:r>
        <w:rPr>
          <w:rFonts w:ascii="Arial" w:hAnsi="Arial"/>
          <w:sz w:val="20"/>
          <w:szCs w:val="20"/>
        </w:rPr>
        <w:t>Documentazione inerente il procedimento di accertamento e contestazione delle violazioni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amministrative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applicazione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delle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sanzioni;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periodo</w:t>
      </w:r>
      <w:r>
        <w:rPr>
          <w:rFonts w:ascii="Arial" w:hAnsi="Arial"/>
          <w:b/>
          <w:spacing w:val="-3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di</w:t>
      </w:r>
      <w:r>
        <w:rPr>
          <w:rFonts w:ascii="Arial" w:hAnsi="Arial"/>
          <w:b/>
          <w:spacing w:val="-1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esclusione</w:t>
      </w:r>
      <w:r>
        <w:rPr>
          <w:rFonts w:ascii="Arial" w:hAnsi="Arial"/>
          <w:sz w:val="20"/>
          <w:szCs w:val="20"/>
        </w:rPr>
        <w:t>: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fino alla conclusione del procedimento. La temporanea inaccessibilità dei documenti ivi indicati non riguarda la parte interessata.</w:t>
      </w:r>
    </w:p>
    <w:p>
      <w:pPr>
        <w:pStyle w:val="BodyText"/>
        <w:widowControl w:val="false"/>
        <w:suppressAutoHyphens w:val="true"/>
        <w:bidi w:val="0"/>
        <w:spacing w:lineRule="auto" w:line="276" w:before="0" w:after="0"/>
        <w:ind w:hanging="0" w:left="0" w:right="113"/>
        <w:jc w:val="both"/>
        <w:rPr/>
      </w:pPr>
      <w:r>
        <w:rPr>
          <w:rFonts w:ascii="Arial" w:hAnsi="Arial"/>
          <w:sz w:val="20"/>
          <w:szCs w:val="20"/>
        </w:rPr>
        <w:t>L’elencazione di cui sopra non è esaustiva né tassativa e può essere, in ogni momento, integrata o modificata in relazione ad eventuali evoluzioni normative o al consoldarsi di orientamenti giurisprudenziali.</w:t>
      </w:r>
    </w:p>
    <w:p>
      <w:pPr>
        <w:pStyle w:val="BodyText"/>
        <w:widowControl w:val="false"/>
        <w:suppressAutoHyphens w:val="true"/>
        <w:bidi w:val="0"/>
        <w:spacing w:lineRule="auto" w:line="276" w:before="0" w:after="0"/>
        <w:ind w:hanging="0" w:left="0" w:right="113"/>
        <w:jc w:val="both"/>
        <w:rPr>
          <w:rFonts w:ascii="Arial" w:hAnsi="Arial" w:cs="Calibri"/>
          <w:b/>
          <w:bCs/>
          <w:color w:val="000000"/>
          <w:sz w:val="20"/>
          <w:szCs w:val="20"/>
          <w:u w:val="none"/>
          <w:shd w:fill="auto" w:val="clear"/>
        </w:rPr>
      </w:pPr>
      <w:r>
        <w:rPr/>
      </w:r>
    </w:p>
    <w:p>
      <w:pPr>
        <w:pStyle w:val="BodyText"/>
        <w:widowControl w:val="false"/>
        <w:suppressAutoHyphens w:val="true"/>
        <w:bidi w:val="0"/>
        <w:spacing w:lineRule="auto" w:line="276" w:before="0" w:after="0"/>
        <w:ind w:hanging="0" w:left="0" w:right="113"/>
        <w:jc w:val="both"/>
        <w:rPr/>
      </w:pPr>
      <w:r>
        <w:rPr>
          <w:rFonts w:cs="Calibri" w:ascii="Arial" w:hAnsi="Arial"/>
          <w:b/>
          <w:bCs/>
          <w:color w:val="000000"/>
          <w:sz w:val="20"/>
          <w:szCs w:val="20"/>
          <w:u w:val="none"/>
          <w:shd w:fill="auto" w:val="clear"/>
        </w:rPr>
        <w:t>Casi di differimento nelle procedure di acquisto</w:t>
      </w:r>
    </w:p>
    <w:p>
      <w:pPr>
        <w:pStyle w:val="BodyText"/>
        <w:widowControl w:val="false"/>
        <w:suppressAutoHyphens w:val="true"/>
        <w:bidi w:val="0"/>
        <w:spacing w:lineRule="auto" w:line="276" w:before="57" w:after="57"/>
        <w:ind w:hanging="0" w:left="0" w:right="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  <w:lang w:eastAsia="it-IT"/>
        </w:rPr>
        <w:t xml:space="preserve">Il nuovo Codice degli appalti (D.Lgs. 36/2023), agli artt. 35 e 36, presenta rilevanti novità in materia; in particolare, s'introduce l’utilizzo delle piattaforme di e-procurement, per la gestione delle istanza di accesso e viene sancita la possibilità di effettuare anche l’accesso civico generalizzato previsto dall’articolo 5-bis del D.Lgs. 14 marzo 2013 n. 33 che precedentemente pareva esclusa. </w:t>
      </w:r>
    </w:p>
    <w:p>
      <w:pPr>
        <w:pStyle w:val="BodyText"/>
        <w:widowControl w:val="false"/>
        <w:suppressAutoHyphens w:val="true"/>
        <w:bidi w:val="0"/>
        <w:spacing w:lineRule="auto" w:line="276" w:before="57" w:after="57"/>
        <w:ind w:hanging="0" w:left="0" w:right="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>Il nuovo codice introduce inoltre una nuova fattispecie di differimento (vedasi lettera c di seguito elencata), che si va ad aggiungere a quelle già previste.</w:t>
      </w:r>
    </w:p>
    <w:p>
      <w:pPr>
        <w:pStyle w:val="BodyText"/>
        <w:widowControl w:val="false"/>
        <w:suppressAutoHyphens w:val="true"/>
        <w:bidi w:val="0"/>
        <w:spacing w:lineRule="auto" w:line="276" w:before="57" w:after="57"/>
        <w:ind w:hanging="0" w:left="0" w:right="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>Nello specifico,ai sensi dell'art. 35 c. 2 del Codice, l’esercizio del diritto di accesso è differito:</w:t>
      </w:r>
    </w:p>
    <w:p>
      <w:pPr>
        <w:pStyle w:val="Normal"/>
        <w:numPr>
          <w:ilvl w:val="0"/>
          <w:numId w:val="2"/>
        </w:numPr>
        <w:spacing w:lineRule="auto" w:line="276" w:before="0" w:after="120"/>
        <w:ind w:hanging="357" w:left="714" w:right="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>nelle procedure aperte, in relazione all'elenco dei soggetti che hanno presentato offerte, fino alla scadenza del termine per la presentazione delle medesime;</w:t>
      </w:r>
    </w:p>
    <w:p>
      <w:pPr>
        <w:pStyle w:val="Normal"/>
        <w:numPr>
          <w:ilvl w:val="0"/>
          <w:numId w:val="2"/>
        </w:numPr>
        <w:spacing w:lineRule="auto" w:line="276" w:before="0" w:after="120"/>
        <w:ind w:hanging="357" w:left="714" w:right="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>nelle procedure ristrette e negoziate e nelle gare informali, in relazione all'elenco dei soggetti che hanno fatto richiesta di invito o che hanno manifestato il loro interesse, e in relazione all'elenco dei soggetti che sono stati invitati a presentare offerte e all'elenco dei soggetti che hanno presentato offerte, fino alla scadenza del termine per la presentazione delle offerte medesime; ai soggetti la cui richiesta di invito sia stata respinta, è consentito l'accesso all'elenco dei soggetti che hanno fatto richiesta di invito o che hanno manifestato il loro interesse, dopo la comunicazione ufficiale, da parte delle stazioni appaltanti o degli enti concedenti, dei nominativi dei candidati da invitare;</w:t>
      </w:r>
    </w:p>
    <w:p>
      <w:pPr>
        <w:pStyle w:val="Normal"/>
        <w:numPr>
          <w:ilvl w:val="0"/>
          <w:numId w:val="2"/>
        </w:numPr>
        <w:spacing w:lineRule="auto" w:line="276" w:before="0" w:after="120"/>
        <w:ind w:hanging="357" w:left="714" w:right="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>in relazione alle domande di partecipazione e agli atti, dati e informazioni relativi ai requisiti di partecipazione di cui agli articoli 94, 95 e 98 e ai verbali relativi alla fase di ammissione dei candidati e offerenti, fino all’aggiudicazione;</w:t>
      </w:r>
    </w:p>
    <w:p>
      <w:pPr>
        <w:pStyle w:val="Normal"/>
        <w:numPr>
          <w:ilvl w:val="0"/>
          <w:numId w:val="2"/>
        </w:numPr>
        <w:spacing w:lineRule="auto" w:line="276" w:before="0" w:after="120"/>
        <w:ind w:hanging="357" w:left="714" w:right="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>in relazione alle offerte e ai verbali relativi alla valutazione delle stesse e agli atti, dati e informazioni a questa presupposti, fino all’aggiudicazione;</w:t>
      </w:r>
    </w:p>
    <w:p>
      <w:pPr>
        <w:pStyle w:val="Normal"/>
        <w:numPr>
          <w:ilvl w:val="0"/>
          <w:numId w:val="2"/>
        </w:numPr>
        <w:spacing w:lineRule="auto" w:line="276"/>
        <w:ind w:hanging="360" w:left="720" w:right="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>in relazione alla verifica della anomalia dell'offerta e ai verbali riferiti alla detta fase, fino all’aggiudicazione.</w:t>
      </w:r>
    </w:p>
    <w:sectPr>
      <w:headerReference w:type="default" r:id="rId2"/>
      <w:footerReference w:type="even" r:id="rId3"/>
      <w:footerReference w:type="default" r:id="rId4"/>
      <w:footerReference w:type="first" r:id="rId5"/>
      <w:type w:val="nextPage"/>
      <w:pgSz w:w="11906" w:h="16838"/>
      <w:pgMar w:left="1275" w:right="1275" w:gutter="0" w:header="540" w:top="1453" w:footer="643" w:bottom="124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 MT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pacing w:lineRule="auto" w:line="276"/>
      <w:jc w:val="left"/>
      <w:rPr>
        <w:color w:val="auto"/>
        <w:shd w:fill="auto" w:val="clear"/>
      </w:rPr>
    </w:pPr>
    <w:r>
      <w:rPr>
        <w:rFonts w:ascii="Arial" w:hAnsi="Arial"/>
        <w:b/>
        <w:color w:val="000000"/>
        <w:sz w:val="12"/>
        <w:szCs w:val="12"/>
        <w:shd w:fill="auto" w:val="clear"/>
      </w:rPr>
      <w:t>REGOLAMENTO AZIENDALE IN MATERIA DI ACCESSO AGLI ATTI DOCUMENTALE, CIVICO SEMPLICE E CIVICO GENERALIZZATO</w:t>
    </w:r>
  </w:p>
  <w:p>
    <w:pPr>
      <w:pStyle w:val="Footer"/>
      <w:bidi w:val="0"/>
      <w:spacing w:lineRule="auto" w:line="276"/>
      <w:jc w:val="left"/>
      <w:rPr>
        <w:rFonts w:ascii="Arial" w:hAnsi="Arial"/>
        <w:sz w:val="12"/>
        <w:szCs w:val="12"/>
      </w:rPr>
    </w:pPr>
    <w:r>
      <w:rPr>
        <w:rFonts w:ascii="Arial" w:hAnsi="Arial"/>
        <w:b/>
        <w:color w:val="000000"/>
        <w:sz w:val="12"/>
        <w:szCs w:val="12"/>
        <w:shd w:fill="auto" w:val="clear"/>
      </w:rPr>
      <w:t>Allegato E - CASI</w:t>
    </w:r>
    <w:r>
      <w:rPr>
        <w:rFonts w:ascii="Arial" w:hAnsi="Arial"/>
        <w:b/>
        <w:color w:val="000000"/>
        <w:spacing w:val="-2"/>
        <w:sz w:val="12"/>
        <w:szCs w:val="12"/>
        <w:shd w:fill="auto" w:val="clear"/>
      </w:rPr>
      <w:t xml:space="preserve"> </w:t>
    </w:r>
    <w:r>
      <w:rPr>
        <w:rFonts w:ascii="Arial" w:hAnsi="Arial"/>
        <w:b/>
        <w:color w:val="000000"/>
        <w:sz w:val="12"/>
        <w:szCs w:val="12"/>
        <w:shd w:fill="auto" w:val="clear"/>
      </w:rPr>
      <w:t>DI</w:t>
    </w:r>
    <w:r>
      <w:rPr>
        <w:rFonts w:ascii="Arial" w:hAnsi="Arial"/>
        <w:b/>
        <w:color w:val="000000"/>
        <w:spacing w:val="-1"/>
        <w:sz w:val="12"/>
        <w:szCs w:val="12"/>
        <w:shd w:fill="auto" w:val="clear"/>
      </w:rPr>
      <w:t xml:space="preserve"> </w:t>
    </w:r>
    <w:r>
      <w:rPr>
        <w:rFonts w:ascii="Arial" w:hAnsi="Arial"/>
        <w:b/>
        <w:color w:val="000000"/>
        <w:spacing w:val="-2"/>
        <w:sz w:val="12"/>
        <w:szCs w:val="12"/>
        <w:shd w:fill="auto" w:val="clear"/>
      </w:rPr>
      <w:t>DIFFERIMENTO</w:t>
      <w:tab/>
      <w:tab/>
      <w:tab/>
      <w:tab/>
      <w:tab/>
      <w:tab/>
      <w:tab/>
      <w:tab/>
      <w:tab/>
      <w:tab/>
    </w:r>
    <w:r>
      <w:rPr>
        <w:rFonts w:ascii="Arial" w:hAnsi="Arial"/>
        <w:b/>
        <w:color w:val="000000"/>
        <w:spacing w:val="-2"/>
        <w:sz w:val="20"/>
        <w:szCs w:val="20"/>
        <w:shd w:fill="auto" w:val="clear"/>
      </w:rPr>
      <w:fldChar w:fldCharType="begin"/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instrText xml:space="preserve"> PAGE </w:instrText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fldChar w:fldCharType="separate"/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t>2</w:t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pacing w:lineRule="auto" w:line="276"/>
      <w:jc w:val="left"/>
      <w:rPr>
        <w:color w:val="auto"/>
        <w:shd w:fill="auto" w:val="clear"/>
      </w:rPr>
    </w:pPr>
    <w:r>
      <w:rPr>
        <w:rFonts w:ascii="Arial" w:hAnsi="Arial"/>
        <w:b/>
        <w:color w:val="000000"/>
        <w:sz w:val="12"/>
        <w:szCs w:val="12"/>
        <w:shd w:fill="auto" w:val="clear"/>
      </w:rPr>
      <w:t>REGOLAMENTO AZIENDALE IN MATERIA DI ACCESSO AGLI ATTI DOCUMENTALE, CIVICO SEMPLICE E CIVICO GENERALIZZATO</w:t>
    </w:r>
  </w:p>
  <w:p>
    <w:pPr>
      <w:pStyle w:val="Footer"/>
      <w:bidi w:val="0"/>
      <w:spacing w:lineRule="auto" w:line="276"/>
      <w:jc w:val="left"/>
      <w:rPr>
        <w:rFonts w:ascii="Arial" w:hAnsi="Arial"/>
        <w:sz w:val="12"/>
        <w:szCs w:val="12"/>
      </w:rPr>
    </w:pPr>
    <w:r>
      <w:rPr>
        <w:rFonts w:ascii="Arial" w:hAnsi="Arial"/>
        <w:b/>
        <w:color w:val="000000"/>
        <w:sz w:val="12"/>
        <w:szCs w:val="12"/>
        <w:shd w:fill="auto" w:val="clear"/>
      </w:rPr>
      <w:t>Allegato E - CASI</w:t>
    </w:r>
    <w:r>
      <w:rPr>
        <w:rFonts w:ascii="Arial" w:hAnsi="Arial"/>
        <w:b/>
        <w:color w:val="000000"/>
        <w:spacing w:val="-2"/>
        <w:sz w:val="12"/>
        <w:szCs w:val="12"/>
        <w:shd w:fill="auto" w:val="clear"/>
      </w:rPr>
      <w:t xml:space="preserve"> </w:t>
    </w:r>
    <w:r>
      <w:rPr>
        <w:rFonts w:ascii="Arial" w:hAnsi="Arial"/>
        <w:b/>
        <w:color w:val="000000"/>
        <w:sz w:val="12"/>
        <w:szCs w:val="12"/>
        <w:shd w:fill="auto" w:val="clear"/>
      </w:rPr>
      <w:t>DI</w:t>
    </w:r>
    <w:r>
      <w:rPr>
        <w:rFonts w:ascii="Arial" w:hAnsi="Arial"/>
        <w:b/>
        <w:color w:val="000000"/>
        <w:spacing w:val="-1"/>
        <w:sz w:val="12"/>
        <w:szCs w:val="12"/>
        <w:shd w:fill="auto" w:val="clear"/>
      </w:rPr>
      <w:t xml:space="preserve"> </w:t>
    </w:r>
    <w:r>
      <w:rPr>
        <w:rFonts w:ascii="Arial" w:hAnsi="Arial"/>
        <w:b/>
        <w:color w:val="000000"/>
        <w:spacing w:val="-2"/>
        <w:sz w:val="12"/>
        <w:szCs w:val="12"/>
        <w:shd w:fill="auto" w:val="clear"/>
      </w:rPr>
      <w:t>DIFFERIMENTO</w:t>
      <w:tab/>
      <w:tab/>
      <w:tab/>
      <w:tab/>
      <w:tab/>
      <w:tab/>
      <w:tab/>
      <w:tab/>
      <w:tab/>
      <w:tab/>
    </w:r>
    <w:r>
      <w:rPr>
        <w:rFonts w:ascii="Arial" w:hAnsi="Arial"/>
        <w:b/>
        <w:color w:val="000000"/>
        <w:spacing w:val="-2"/>
        <w:sz w:val="20"/>
        <w:szCs w:val="20"/>
        <w:shd w:fill="auto" w:val="clear"/>
      </w:rPr>
      <w:fldChar w:fldCharType="begin"/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instrText xml:space="preserve"> PAGE </w:instrText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fldChar w:fldCharType="separate"/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t>2</w:t>
    </w:r>
    <w:r>
      <w:rPr>
        <w:sz w:val="20"/>
        <w:spacing w:val="-2"/>
        <w:b/>
        <w:shd w:fill="auto" w:val="clear"/>
        <w:szCs w:val="20"/>
        <w:rFonts w:ascii="Arial" w:hAnsi="Arial"/>
        <w:color w:val="000000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1603375" cy="400050"/>
          <wp:effectExtent l="0" t="0" r="0" b="0"/>
          <wp:docPr id="1" name="Copia Copia Copia Immagine2 2 1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pia Copia Copia Immagine2 2 1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26" r="-7" b="-26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863" w:hanging="360"/>
      </w:pPr>
      <w:rPr>
        <w:rFonts w:ascii="Arial MT" w:hAnsi="Arial MT" w:cs="Arial MT" w:hint="default"/>
        <w:sz w:val="22"/>
        <w:spacing w:val="0"/>
        <w:i w:val="false"/>
        <w:b w:val="false"/>
        <w:szCs w:val="22"/>
        <w:iCs w:val="false"/>
        <w:bCs w:val="false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20" w:hanging="360"/>
      </w:pPr>
      <w:rPr>
        <w:rFonts w:ascii="Symbol" w:hAnsi="Symbol" w:cs="Symbol" w:hint="default"/>
        <w:sz w:val="22"/>
        <w:spacing w:val="0"/>
        <w:i w:val="false"/>
        <w:b w:val="false"/>
        <w:szCs w:val="22"/>
        <w:iCs w:val="false"/>
        <w:bCs w:val="false"/>
        <w:w w:val="100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01" w:hanging="36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2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63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44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25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06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87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character" w:styleId="DefaultParagraphFont1">
    <w:name w:val="Default Paragraph Font1"/>
    <w:qFormat/>
    <w:rPr/>
  </w:style>
  <w:style w:type="character" w:styleId="FollowedHyperlink">
    <w:name w:val="FollowedHyperlink"/>
    <w:basedOn w:val="DefaultParagraphFont1"/>
    <w:rPr>
      <w:color w:val="800080"/>
      <w:u w:val="single"/>
    </w:rPr>
  </w:style>
  <w:style w:type="character" w:styleId="Caratteridinumerazione">
    <w:name w:val="Caratteri di numerazione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it-IT" w:eastAsia="en-US" w:bidi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uiPriority w:val="1"/>
    <w:qFormat/>
    <w:pPr>
      <w:ind w:left="143"/>
      <w:jc w:val="both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3" w:right="132"/>
      <w:jc w:val="both"/>
    </w:pPr>
    <w:rPr>
      <w:rFonts w:ascii="Arial MT" w:hAnsi="Arial MT" w:eastAsia="Arial MT" w:cs="Arial MT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Footer">
    <w:name w:val="Foot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paragraph" w:styleId="Header">
    <w:name w:val="Header"/>
    <w:basedOn w:val="Intestazioneepidipagina"/>
    <w:pPr>
      <w:suppressLineNumbers/>
      <w:tabs>
        <w:tab w:val="clear" w:pos="720"/>
        <w:tab w:val="center" w:pos="4678" w:leader="none"/>
        <w:tab w:val="right" w:pos="9356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LibreOffice/7.6.6.3$Windows_X86_64 LibreOffice_project/d97b2716a9a4a2ce1391dee1765565ea469b0ae7</Application>
  <AppVersion>15.0000</AppVersion>
  <Pages>2</Pages>
  <Words>800</Words>
  <Characters>4891</Characters>
  <CharactersWithSpaces>5670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2024-12-18T11:52:33Z</dcterms:created>
  <dc:creator>101734</dc:creator>
  <dc:description/>
  <dc:language>it-IT</dc:language>
  <cp:lastModifiedBy/>
  <dcterms:modified xsi:type="dcterms:W3CDTF">2024-12-20T12:06:50Z</dcterms:modified>
  <cp:revision>9</cp:revision>
  <dc:subject/>
  <dc:title>ALLEGATO E_Casi di differimento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2024-12-18T00:00:00Z</vt:filetime>
  </property>
  <property fmtid="{D5CDD505-2E9C-101B-9397-08002B2CF9AE}" pid="5" name="Producer">
    <vt:lpwstr>PDFCreator 2.5.2.5233</vt:lpwstr>
  </property>
</Properties>
</file>